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E37BD9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E37BD9" w:rsidRDefault="00F82464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Шкотовского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E37BD9" w:rsidRDefault="00E37BD9" w:rsidP="00E37BD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E37BD9" w:rsidRDefault="00E37BD9" w:rsidP="00E37BD9">
      <w:pPr>
        <w:spacing w:after="0" w:line="240" w:lineRule="auto"/>
        <w:ind w:left="0" w:firstLine="851"/>
        <w:rPr>
          <w:szCs w:val="24"/>
        </w:rPr>
      </w:pPr>
    </w:p>
    <w:p w:rsidR="00E37BD9" w:rsidRDefault="00E37BD9" w:rsidP="00E37BD9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E37BD9" w:rsidRDefault="00E37BD9" w:rsidP="00E37BD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E37BD9" w:rsidRDefault="00E37BD9" w:rsidP="00E37BD9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E37BD9" w:rsidRDefault="00E37BD9" w:rsidP="00E37BD9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E37BD9" w:rsidRDefault="00E37BD9" w:rsidP="00E37BD9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E37BD9" w:rsidRDefault="00E37BD9" w:rsidP="00E37BD9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E37BD9" w:rsidRDefault="00E37BD9" w:rsidP="000F2345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0F2345" w:rsidRPr="009533AF" w:rsidRDefault="000F2345" w:rsidP="000F2345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0F2345" w:rsidRDefault="000F2345" w:rsidP="000F2345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Шко</w:t>
      </w:r>
      <w:r w:rsidRPr="002466DB">
        <w:rPr>
          <w:color w:val="000000" w:themeColor="text1"/>
          <w:szCs w:val="24"/>
        </w:rPr>
        <w:t>товск</w:t>
      </w:r>
      <w:r>
        <w:rPr>
          <w:color w:val="000000" w:themeColor="text1"/>
          <w:szCs w:val="24"/>
        </w:rPr>
        <w:t>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0F2345" w:rsidRDefault="000F2345" w:rsidP="000F2345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0F2345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0F2345" w:rsidRPr="009533AF" w:rsidTr="008B1149">
        <w:trPr>
          <w:tblHeader/>
        </w:trPr>
        <w:tc>
          <w:tcPr>
            <w:tcW w:w="303" w:type="dxa"/>
            <w:vMerge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Шкотово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35,35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29,46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34,41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14 п. </w:t>
            </w:r>
            <w:proofErr w:type="spellStart"/>
            <w:r>
              <w:rPr>
                <w:sz w:val="20"/>
                <w:szCs w:val="20"/>
              </w:rPr>
              <w:t>Подъяпольское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47,37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15 п. </w:t>
            </w:r>
            <w:proofErr w:type="spellStart"/>
            <w:r>
              <w:rPr>
                <w:sz w:val="20"/>
                <w:szCs w:val="20"/>
              </w:rPr>
              <w:t>Штыково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34,55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25 с. Романовка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32,91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22,89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26 п. Новонежино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15,52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13,89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15,09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27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Смоляниново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51,92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44,66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55,26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28 с. </w:t>
            </w:r>
            <w:proofErr w:type="spellStart"/>
            <w:r>
              <w:rPr>
                <w:sz w:val="20"/>
                <w:szCs w:val="20"/>
              </w:rPr>
              <w:t>Анисимовка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27,78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29 с. Центральное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0F2345" w:rsidRPr="009533AF" w:rsidTr="008B1149">
        <w:tc>
          <w:tcPr>
            <w:tcW w:w="303" w:type="dxa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816" w:type="dxa"/>
            <w:vAlign w:val="bottom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13 с. </w:t>
            </w:r>
            <w:proofErr w:type="spellStart"/>
            <w:r>
              <w:rPr>
                <w:sz w:val="20"/>
                <w:szCs w:val="20"/>
              </w:rPr>
              <w:t>Многоудобное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Шкотовский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21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20" w:type="dxa"/>
            <w:vAlign w:val="center"/>
          </w:tcPr>
          <w:p w:rsidR="000F2345" w:rsidRPr="009533AF" w:rsidRDefault="000F2345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8,70</w:t>
            </w:r>
          </w:p>
        </w:tc>
      </w:tr>
    </w:tbl>
    <w:p w:rsidR="000F2345" w:rsidRPr="00C122F2" w:rsidRDefault="000F2345" w:rsidP="000F2345">
      <w:pPr>
        <w:spacing w:after="0" w:line="240" w:lineRule="auto"/>
        <w:ind w:left="0" w:firstLine="708"/>
        <w:rPr>
          <w:szCs w:val="24"/>
        </w:rPr>
      </w:pPr>
    </w:p>
    <w:p w:rsidR="000F2345" w:rsidRPr="00C122F2" w:rsidRDefault="000F2345" w:rsidP="000F2345">
      <w:pPr>
        <w:spacing w:after="0" w:line="240" w:lineRule="auto"/>
        <w:ind w:left="0" w:firstLine="284"/>
        <w:rPr>
          <w:szCs w:val="28"/>
        </w:rPr>
      </w:pPr>
    </w:p>
    <w:p w:rsidR="000F2345" w:rsidRPr="00C122F2" w:rsidRDefault="000F2345" w:rsidP="000F2345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5DA0B9F7" wp14:editId="7A0B1710">
            <wp:extent cx="6090285" cy="513334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13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2345" w:rsidRDefault="000F2345" w:rsidP="000F2345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0F2345" w:rsidRPr="00C122F2" w:rsidRDefault="000F2345" w:rsidP="000F2345">
      <w:pPr>
        <w:spacing w:after="0" w:line="240" w:lineRule="auto"/>
        <w:ind w:left="0" w:firstLine="284"/>
        <w:jc w:val="center"/>
        <w:rPr>
          <w:szCs w:val="28"/>
        </w:rPr>
      </w:pPr>
      <w:proofErr w:type="spellStart"/>
      <w:r w:rsidRPr="00C122F2">
        <w:rPr>
          <w:szCs w:val="28"/>
        </w:rPr>
        <w:t>Шкотовского</w:t>
      </w:r>
      <w:proofErr w:type="spellEnd"/>
      <w:r w:rsidRPr="00C122F2">
        <w:rPr>
          <w:szCs w:val="28"/>
        </w:rPr>
        <w:t xml:space="preserve"> муниципального района по направлениям групп предметов.</w:t>
      </w:r>
    </w:p>
    <w:p w:rsidR="000F2345" w:rsidRDefault="000F2345" w:rsidP="000F2345">
      <w:pPr>
        <w:spacing w:after="0" w:line="240" w:lineRule="auto"/>
        <w:ind w:left="0" w:firstLine="708"/>
        <w:rPr>
          <w:szCs w:val="28"/>
        </w:rPr>
      </w:pPr>
    </w:p>
    <w:p w:rsidR="00ED7FA9" w:rsidRPr="00F82464" w:rsidRDefault="000F2345" w:rsidP="00F82464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большинстве ОО </w:t>
      </w:r>
      <w:proofErr w:type="spellStart"/>
      <w:r w:rsidRPr="00C122F2">
        <w:rPr>
          <w:szCs w:val="28"/>
        </w:rPr>
        <w:t>Шкотовского</w:t>
      </w:r>
      <w:proofErr w:type="spellEnd"/>
      <w:r w:rsidRPr="00C122F2">
        <w:rPr>
          <w:szCs w:val="28"/>
        </w:rPr>
        <w:t xml:space="preserve"> муниципального района </w:t>
      </w:r>
      <w:r>
        <w:rPr>
          <w:szCs w:val="28"/>
        </w:rPr>
        <w:t xml:space="preserve">преобладает </w:t>
      </w:r>
      <w:r w:rsidRPr="00C122F2">
        <w:rPr>
          <w:szCs w:val="28"/>
        </w:rPr>
        <w:t>качеств</w:t>
      </w:r>
      <w:r>
        <w:rPr>
          <w:szCs w:val="28"/>
        </w:rPr>
        <w:t>о</w:t>
      </w:r>
      <w:r w:rsidRPr="00C122F2">
        <w:rPr>
          <w:szCs w:val="28"/>
        </w:rPr>
        <w:t xml:space="preserve"> обучения по </w:t>
      </w:r>
      <w:r>
        <w:rPr>
          <w:szCs w:val="28"/>
        </w:rPr>
        <w:t>естественно-научному</w:t>
      </w:r>
      <w:r w:rsidRPr="00C122F2">
        <w:rPr>
          <w:szCs w:val="28"/>
        </w:rPr>
        <w:t xml:space="preserve"> направлению. Однако в ОО с </w:t>
      </w:r>
      <w:r>
        <w:rPr>
          <w:szCs w:val="28"/>
        </w:rPr>
        <w:t xml:space="preserve">самыми </w:t>
      </w:r>
      <w:r w:rsidRPr="00C122F2">
        <w:rPr>
          <w:szCs w:val="28"/>
        </w:rPr>
        <w:t xml:space="preserve">высокими показателями </w:t>
      </w:r>
      <w:r>
        <w:rPr>
          <w:szCs w:val="28"/>
        </w:rPr>
        <w:t xml:space="preserve">и в ОО с самыми низкими показателями </w:t>
      </w:r>
      <w:r w:rsidRPr="00C122F2">
        <w:rPr>
          <w:szCs w:val="28"/>
        </w:rPr>
        <w:t>преобладает качество обучения по физи</w:t>
      </w:r>
      <w:r>
        <w:rPr>
          <w:szCs w:val="28"/>
        </w:rPr>
        <w:t>ко-математическому направлению.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F2345"/>
    <w:rsid w:val="0019059E"/>
    <w:rsid w:val="005178B7"/>
    <w:rsid w:val="0063753F"/>
    <w:rsid w:val="007E0A05"/>
    <w:rsid w:val="00894DF6"/>
    <w:rsid w:val="00E37BD9"/>
    <w:rsid w:val="00E66B07"/>
    <w:rsid w:val="00ED7FA9"/>
    <w:rsid w:val="00F8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A0B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2025-10-29T09:21:00Z</dcterms:created>
  <dcterms:modified xsi:type="dcterms:W3CDTF">2025-10-30T21:15:00Z</dcterms:modified>
</cp:coreProperties>
</file>